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163A" w14:textId="77777777" w:rsidR="000411B7" w:rsidRDefault="001D1A0B" w:rsidP="00C917A1">
      <w:r>
        <w:drawing>
          <wp:anchor distT="0" distB="0" distL="114300" distR="114300" simplePos="0" relativeHeight="251660288" behindDoc="1" locked="0" layoutInCell="1" allowOverlap="1" wp14:anchorId="0C3720E0" wp14:editId="39F4F509">
            <wp:simplePos x="0" y="0"/>
            <wp:positionH relativeFrom="column">
              <wp:posOffset>1783813</wp:posOffset>
            </wp:positionH>
            <wp:positionV relativeFrom="paragraph">
              <wp:posOffset>70485</wp:posOffset>
            </wp:positionV>
            <wp:extent cx="1925515" cy="426600"/>
            <wp:effectExtent l="0" t="0" r="0" b="5715"/>
            <wp:wrapNone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adna 2 LOGO Nové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515" cy="42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CE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934F0" wp14:editId="3020866C">
                <wp:simplePos x="0" y="0"/>
                <wp:positionH relativeFrom="column">
                  <wp:posOffset>1592140</wp:posOffset>
                </wp:positionH>
                <wp:positionV relativeFrom="paragraph">
                  <wp:posOffset>131445</wp:posOffset>
                </wp:positionV>
                <wp:extent cx="0" cy="281305"/>
                <wp:effectExtent l="0" t="0" r="12700" b="107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1D0B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35pt,10.35pt" to="125.3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" strokecolor="#7f7f7f [1612]" strokeweight=".5pt">
                <v:stroke joinstyle="miter"/>
              </v:line>
            </w:pict>
          </mc:Fallback>
        </mc:AlternateContent>
      </w:r>
      <w:r w:rsidR="00C917A1">
        <w:drawing>
          <wp:inline distT="0" distB="0" distL="0" distR="0" wp14:anchorId="6AD1AFA7" wp14:editId="094C9262">
            <wp:extent cx="1710000" cy="720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UCS →↓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29768" w14:textId="6C4D8E97" w:rsidR="00DB14EB" w:rsidRPr="001C7BF4" w:rsidRDefault="00143171" w:rsidP="000F6CEC">
      <w:pPr>
        <w:pStyle w:val="Nadpis1"/>
        <w:rPr>
          <w:rFonts w:eastAsia="Proxima Nova"/>
        </w:rPr>
      </w:pPr>
      <w:r w:rsidRPr="00143171">
        <w:rPr>
          <w:rFonts w:eastAsia="Proxima Nova"/>
          <w:color w:val="000000"/>
        </w:rPr>
        <w:t>Dopravní nehody motorkářů mají často tragické následky. Kdo pomáhá poškozeným?</w:t>
      </w:r>
    </w:p>
    <w:p w14:paraId="75F75B54" w14:textId="6D5FCF31" w:rsidR="00DB14EB" w:rsidRPr="00DB14EB" w:rsidRDefault="00DB14EB" w:rsidP="002B48DB">
      <w:pPr>
        <w:rPr>
          <w:rStyle w:val="Zdraznnjemn"/>
        </w:rPr>
      </w:pPr>
      <w:r>
        <w:rPr>
          <w:rStyle w:val="Zdraznnjemn"/>
        </w:rPr>
        <w:t xml:space="preserve">Tisková zpráva | </w:t>
      </w:r>
      <w:r w:rsidR="00143171">
        <w:rPr>
          <w:rStyle w:val="Zdraznnjemn"/>
        </w:rPr>
        <w:t>19. května 2021</w:t>
      </w:r>
    </w:p>
    <w:p w14:paraId="2D778A98" w14:textId="72051164" w:rsidR="00530D62" w:rsidRDefault="00174E98" w:rsidP="00032135">
      <w:pPr>
        <w:jc w:val="left"/>
        <w:rPr>
          <w:rStyle w:val="Zdraznn"/>
        </w:rPr>
      </w:pPr>
      <w:r w:rsidRPr="00174E98">
        <w:rPr>
          <w:rStyle w:val="Zdraznn"/>
        </w:rPr>
        <w:t>Motorkářská sezona je v plném proudu, ale kromě krásných chvilek při projížďkách s sebou bohužel přináší i dopravní nehody, které mohou pro motorkáře skončit vážným zraněním nebo v nejhorších případech smrtí. Odškodnění po nezaviněné dopravní nehodě zdraví ani život nevrátí, ale pomáhá poškozeným či pozůstalým alespoň od finančních starostí. V podobné situaci je možné se obrátit na Poradnu poškozeného, která má zastoupení i ve vašem regionu.</w:t>
      </w:r>
    </w:p>
    <w:p w14:paraId="71057253" w14:textId="60BD3CCD" w:rsidR="00174E98" w:rsidRPr="00174E98" w:rsidRDefault="00174E98" w:rsidP="00174E98">
      <w:pPr>
        <w:jc w:val="left"/>
        <w:rPr>
          <w:rStyle w:val="Zdraznn"/>
          <w:b w:val="0"/>
          <w:bCs w:val="0"/>
        </w:rPr>
      </w:pPr>
      <w:r w:rsidRPr="00174E98">
        <w:rPr>
          <w:rStyle w:val="Zdraznn"/>
          <w:b w:val="0"/>
          <w:bCs w:val="0"/>
        </w:rPr>
        <w:t>Jen za první kvartál roku 2021 zemřelo na našich silnicích sedm motocyklistů. Ze statistik nehodovosti v ČR pak vyplývá, že v roce 2020 zahynulo při dopravních nehodách 61 motocyklistů, 401 jich bylo těžce zraněno a 2 204 utrpělo lehké zranění. V dlouhodobém horizontu se roční počet nehod s účastí motocyklistů drží nad hranicí 3 000 případů.*</w:t>
      </w:r>
    </w:p>
    <w:p w14:paraId="5E0CC468" w14:textId="2ED10F8F" w:rsidR="00032135" w:rsidRDefault="00174E98" w:rsidP="00174E98">
      <w:pPr>
        <w:jc w:val="left"/>
      </w:pPr>
      <w:r w:rsidRPr="00174E98">
        <w:rPr>
          <w:rStyle w:val="Zdraznn"/>
          <w:b w:val="0"/>
          <w:bCs w:val="0"/>
        </w:rPr>
        <w:t xml:space="preserve">Za těmito čísly vidí konkrétní lidské příběhy právě odborníci z </w:t>
      </w:r>
      <w:hyperlink r:id="rId10" w:history="1">
        <w:r w:rsidRPr="00174E98">
          <w:rPr>
            <w:rStyle w:val="Nadpis4Char"/>
          </w:rPr>
          <w:t>Poradny poškozeného</w:t>
        </w:r>
      </w:hyperlink>
      <w:r w:rsidRPr="00174E98">
        <w:rPr>
          <w:rStyle w:val="Zdraznn"/>
          <w:b w:val="0"/>
          <w:bCs w:val="0"/>
        </w:rPr>
        <w:t>, která vznikla pod patronací společnosti EUCS a specializuje se na pomoc obětem nezaviněných dopravních nehod či vážných pracovních úrazů.</w:t>
      </w:r>
    </w:p>
    <w:p w14:paraId="2E0038AF" w14:textId="0CEE39C4" w:rsidR="008C1CC6" w:rsidRDefault="00174E98" w:rsidP="00F37F01">
      <w:pPr>
        <w:pStyle w:val="Nadpis3"/>
      </w:pPr>
      <w:r w:rsidRPr="00174E98">
        <w:t>Motorkář, který nedostal na hlavní silnici přednost, získal plnění přes jedenáct milionů korun</w:t>
      </w:r>
    </w:p>
    <w:p w14:paraId="039870FC" w14:textId="2AE7D100" w:rsidR="00174E98" w:rsidRDefault="00174E98" w:rsidP="00174E98">
      <w:pPr>
        <w:jc w:val="left"/>
      </w:pPr>
      <w:r>
        <w:t>Pan Holan utrpěl při nezaviněné dopravní nehodě poranění páteře, přišel o pravou nohu a má trvale omezenou hybnost pravé i levé ruky. Díky profesionálnímu zastupování mu pojišťovna viníka zaplatila bez delších průtahů celé odškodnění, na které měl nárok.</w:t>
      </w:r>
    </w:p>
    <w:p w14:paraId="67CBBE95" w14:textId="1A49BA54" w:rsidR="00174E98" w:rsidRDefault="00174E98" w:rsidP="00174E98">
      <w:pPr>
        <w:jc w:val="left"/>
      </w:pPr>
      <w:r>
        <w:t>Konkrétně bylo uhrazeno 650 852 Kč za vytrpěnou bolest a 3 350 835 Kč jako odškodnění za ztížení společenského uplatnění. Dále pan Holan získal 4 504 433 Kč jako ušlý zisk z podnikání, který byl vypočten podle jeho daňového přiznání. Za ošetřovné a náklady na léčení bylo vyplaceno 1 344 549 Kč.</w:t>
      </w:r>
    </w:p>
    <w:p w14:paraId="598B668B" w14:textId="276B4B2E" w:rsidR="00236C2B" w:rsidRDefault="00174E98" w:rsidP="00174E98">
      <w:pPr>
        <w:jc w:val="left"/>
      </w:pPr>
      <w:r>
        <w:t>A protože se tato nešťastná nehoda dotkla i jeho nejbližších, byla rodina pana Holana odškodněna za duševní útrapy částkou 950 000 Kč. V neposlední řadě došlo na revizi výplaty z životní pojistky a doplatek 490 000 Kč za trvalé následky úrazu.</w:t>
      </w:r>
    </w:p>
    <w:p w14:paraId="2BF520A3" w14:textId="197DED61" w:rsidR="00174E98" w:rsidRDefault="00174E98" w:rsidP="00174E98">
      <w:pPr>
        <w:pStyle w:val="Nadpis3"/>
      </w:pPr>
      <w:r>
        <w:t>Proč je důležité při odškodnění spolupracovat se specialisty?</w:t>
      </w:r>
    </w:p>
    <w:p w14:paraId="588B002D" w14:textId="46277796" w:rsidR="00174E98" w:rsidRDefault="00174E98" w:rsidP="00174E98">
      <w:pPr>
        <w:jc w:val="left"/>
      </w:pPr>
      <w:r>
        <w:t>Jak je vidět na výše uvedeném příkladu z praxe, přehled všech adekvátních nároků po dopravní nehodě může být poměrně rozsáhlý a jejich uplatnění v maximální výši je pro laika většinou nedosažitelné. V potaz je také nutné brát skutečnost, že pojišťovny jako soukromé subjekty hájí své ekonomické zájmy a poškozené na některé nároky nebo jejich možnou výši samy neupozorní.</w:t>
      </w:r>
    </w:p>
    <w:p w14:paraId="7F32AC1B" w14:textId="00702964" w:rsidR="00174E98" w:rsidRDefault="00174E98" w:rsidP="00174E98">
      <w:pPr>
        <w:jc w:val="left"/>
      </w:pPr>
      <w:r w:rsidRPr="00174E98">
        <w:rPr>
          <w:rStyle w:val="CittChar"/>
        </w:rPr>
        <w:t>„Jelikož si plně uvědomujeme fakt, že například bolestné nebo ztížení společenského uplatnění není snadné finančně ohodnotit, spolupracujeme pouze s renomovanými soudními znalci, a právě tím dosahujeme mnohdy až trojnásobného odškodnění, než je běžně vypláceno na základě posudků ošetřujících lékařů nebo lékařů pojišťoven,“</w:t>
      </w:r>
      <w:r>
        <w:t xml:space="preserve"> dodává Mgr. Lukáš Kaplan z Poradny poškozeného.</w:t>
      </w:r>
    </w:p>
    <w:p w14:paraId="11140C23" w14:textId="61BB284A" w:rsidR="00174E98" w:rsidRDefault="00174E98" w:rsidP="00174E98">
      <w:pPr>
        <w:jc w:val="left"/>
      </w:pPr>
      <w:r>
        <w:lastRenderedPageBreak/>
        <w:t xml:space="preserve">Při dopravní nehodě motorkářů, kdy dojde k úmrtí spolujezdce nebo řidiče, který nehodu nezavinil, mají pak pozůstalí příbuzní a některé blízké osoby nárok na odčinění výše zmíněných duševních útrap, ale také na pozůstalostní rentu a případně další finanční náhradu. I s takovými případy je možné se na Poradnu obrátit, a to prostřednictvím portálu </w:t>
      </w:r>
      <w:hyperlink r:id="rId11" w:history="1">
        <w:r w:rsidRPr="00174E98">
          <w:rPr>
            <w:rStyle w:val="Nadpis4Char"/>
          </w:rPr>
          <w:t>www.poradnaposkozeneho.cz</w:t>
        </w:r>
      </w:hyperlink>
      <w:r>
        <w:t>.</w:t>
      </w:r>
    </w:p>
    <w:p w14:paraId="4512D47B" w14:textId="69F0946D" w:rsidR="00174E98" w:rsidRDefault="00174E98" w:rsidP="00174E98">
      <w:pPr>
        <w:jc w:val="left"/>
      </w:pPr>
      <w:r>
        <w:t>*zdroj BESIP</w:t>
      </w:r>
    </w:p>
    <w:p w14:paraId="67A8ABCA" w14:textId="4D7B1528" w:rsidR="00174E98" w:rsidRDefault="00174E98" w:rsidP="00174E98">
      <w:pPr>
        <w:jc w:val="left"/>
      </w:pPr>
      <w:r>
        <w:t>---</w:t>
      </w:r>
    </w:p>
    <w:p w14:paraId="63CF6B49" w14:textId="32E961C6" w:rsidR="00174E98" w:rsidRDefault="00174E98" w:rsidP="00174E98">
      <w:pPr>
        <w:jc w:val="left"/>
      </w:pPr>
      <w:r w:rsidRPr="00174E98">
        <w:rPr>
          <w:rStyle w:val="Nadpis4Char"/>
        </w:rPr>
        <w:t>Poradna poškozeného</w:t>
      </w:r>
      <w:r>
        <w:t xml:space="preserve"> je jedním z klíčových projektů společnosti EUCS (European Compensation Services s. r. o.), která od roku 2012 zajišťuje specializovanou právní pomoc v nejtěžších životních situacích. </w:t>
      </w:r>
    </w:p>
    <w:p w14:paraId="5A2FF981" w14:textId="2753B20D" w:rsidR="00174E98" w:rsidRDefault="00174E98" w:rsidP="00174E98">
      <w:pPr>
        <w:jc w:val="left"/>
      </w:pPr>
      <w:r>
        <w:t>Společnost EUCS se zaměřuje na náhradu škody a likvidaci pojistných událostí, při kterých klientům zprostředkovává odborný tým složený z advokátů, soudních znalců, psychologů a lékařů. Pro poškozené vymohla již přes 500 000 000 Kč.</w:t>
      </w:r>
    </w:p>
    <w:p w14:paraId="48CE4235" w14:textId="77777777" w:rsidR="00CD0591" w:rsidRPr="00CD0591" w:rsidRDefault="00CD0591" w:rsidP="00CD0591">
      <w:pPr>
        <w:jc w:val="center"/>
      </w:pPr>
      <w:r w:rsidRPr="00CD0591">
        <w:t>…</w:t>
      </w:r>
    </w:p>
    <w:p w14:paraId="57D60049" w14:textId="77777777" w:rsidR="004D130B" w:rsidRPr="004D130B" w:rsidRDefault="004D130B" w:rsidP="004D130B"/>
    <w:p w14:paraId="770EC20B" w14:textId="1C56C5F8" w:rsidR="00266F72" w:rsidRPr="00236C2B" w:rsidRDefault="00266F72" w:rsidP="00266F72"/>
    <w:sectPr w:rsidR="00266F72" w:rsidRPr="00236C2B" w:rsidSect="001E6D9B">
      <w:footerReference w:type="even" r:id="rId12"/>
      <w:footerReference w:type="default" r:id="rId13"/>
      <w:footerReference w:type="first" r:id="rId14"/>
      <w:pgSz w:w="11900" w:h="16840"/>
      <w:pgMar w:top="1134" w:right="1134" w:bottom="170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395F" w14:textId="77777777" w:rsidR="00631F51" w:rsidRDefault="00631F51" w:rsidP="002E0680">
      <w:r>
        <w:separator/>
      </w:r>
    </w:p>
    <w:p w14:paraId="0C70B254" w14:textId="77777777" w:rsidR="00631F51" w:rsidRDefault="00631F51" w:rsidP="002E0680"/>
  </w:endnote>
  <w:endnote w:type="continuationSeparator" w:id="0">
    <w:p w14:paraId="7ACD810E" w14:textId="77777777" w:rsidR="00631F51" w:rsidRDefault="00631F51" w:rsidP="002E0680">
      <w:r>
        <w:continuationSeparator/>
      </w:r>
    </w:p>
    <w:p w14:paraId="38DCE0A2" w14:textId="77777777" w:rsidR="00631F51" w:rsidRDefault="00631F51" w:rsidP="002E0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 Text">
    <w:altName w:val="Calibri"/>
    <w:panose1 w:val="00000000000000000000"/>
    <w:charset w:val="4D"/>
    <w:family w:val="swiss"/>
    <w:notTrueType/>
    <w:pitch w:val="variable"/>
    <w:sig w:usb0="A000026F" w:usb1="5000207B" w:usb2="00000000" w:usb3="00000000" w:csb0="00000197" w:csb1="00000000"/>
  </w:font>
  <w:font w:name="HK Grotesk">
    <w:altName w:val="Calibri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BM Plex Sans">
    <w:altName w:val="Calibri"/>
    <w:panose1 w:val="00000000000000000000"/>
    <w:charset w:val="4D"/>
    <w:family w:val="swiss"/>
    <w:notTrueType/>
    <w:pitch w:val="variable"/>
    <w:sig w:usb0="A000026F" w:usb1="5000207B" w:usb2="00000000" w:usb3="00000000" w:csb0="0000019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Proxima Nova"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6060294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0AECB02" w14:textId="77777777" w:rsidR="00AD58EF" w:rsidRDefault="00AD58EF" w:rsidP="002E0680">
        <w:pPr>
          <w:pStyle w:val="Zpat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sdt>
    <w:sdtPr>
      <w:rPr>
        <w:rStyle w:val="slostrnky"/>
      </w:rPr>
      <w:id w:val="185468980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CAEBCBB" w14:textId="77777777" w:rsidR="00A31D0B" w:rsidRDefault="00A31D0B" w:rsidP="002E0680">
        <w:pPr>
          <w:pStyle w:val="Zpat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68B23D4" w14:textId="77777777" w:rsidR="00A31D0B" w:rsidRDefault="00A31D0B" w:rsidP="002E0680">
    <w:pPr>
      <w:pStyle w:val="Zpat"/>
    </w:pPr>
  </w:p>
  <w:p w14:paraId="52EA6A4F" w14:textId="77777777" w:rsidR="001C6B75" w:rsidRDefault="001C6B75" w:rsidP="002E06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75804380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FB090F9" w14:textId="77777777" w:rsidR="00530D62" w:rsidRDefault="00530D62" w:rsidP="00530D62">
        <w:pPr>
          <w:pStyle w:val="Zpat"/>
          <w:framePr w:wrap="none" w:vAnchor="text" w:hAnchor="margin" w:xAlign="right" w:y="1"/>
          <w:rPr>
            <w:rStyle w:val="slostrnky"/>
          </w:rPr>
        </w:pPr>
        <w:r w:rsidRPr="003E7454">
          <w:rPr>
            <w:rStyle w:val="slostrnky"/>
          </w:rPr>
          <w:fldChar w:fldCharType="begin"/>
        </w:r>
        <w:r w:rsidRPr="003E7454">
          <w:rPr>
            <w:rStyle w:val="slostrnky"/>
          </w:rPr>
          <w:instrText xml:space="preserve"> PAGE </w:instrText>
        </w:r>
        <w:r w:rsidRPr="003E7454">
          <w:rPr>
            <w:rStyle w:val="slostrnky"/>
          </w:rPr>
          <w:fldChar w:fldCharType="separate"/>
        </w:r>
        <w:r>
          <w:rPr>
            <w:rStyle w:val="slostrnky"/>
          </w:rPr>
          <w:t>1</w:t>
        </w:r>
        <w:r w:rsidRPr="003E7454">
          <w:rPr>
            <w:rStyle w:val="slostrnky"/>
          </w:rPr>
          <w:fldChar w:fldCharType="end"/>
        </w:r>
        <w:r w:rsidRPr="003E7454">
          <w:rPr>
            <w:rStyle w:val="slostrnky"/>
          </w:rPr>
          <w:t>/</w:t>
        </w:r>
        <w:r w:rsidRPr="003E7454">
          <w:rPr>
            <w:rStyle w:val="slostrnky"/>
          </w:rPr>
          <w:fldChar w:fldCharType="begin"/>
        </w:r>
        <w:r w:rsidRPr="003E7454">
          <w:rPr>
            <w:rStyle w:val="slostrnky"/>
          </w:rPr>
          <w:instrText xml:space="preserve"> NUMPAGES </w:instrText>
        </w:r>
        <w:r w:rsidRPr="003E7454">
          <w:rPr>
            <w:rStyle w:val="slostrnky"/>
          </w:rPr>
          <w:fldChar w:fldCharType="separate"/>
        </w:r>
        <w:r>
          <w:rPr>
            <w:rStyle w:val="slostrnky"/>
          </w:rPr>
          <w:t>9</w:t>
        </w:r>
        <w:r w:rsidRPr="003E7454">
          <w:rPr>
            <w:rStyle w:val="slostrnky"/>
          </w:rPr>
          <w:fldChar w:fldCharType="end"/>
        </w:r>
      </w:p>
    </w:sdtContent>
  </w:sdt>
  <w:p w14:paraId="13B6883C" w14:textId="77777777" w:rsidR="002B48DB" w:rsidRPr="00D75591" w:rsidRDefault="00530D62" w:rsidP="002B48DB">
    <w:pPr>
      <w:pStyle w:val="Zpat"/>
      <w:rPr>
        <w:rStyle w:val="Zdraznn"/>
      </w:rPr>
    </w:pPr>
    <w:r w:rsidRPr="009A2CFC">
      <w:rPr>
        <w:rStyle w:val="Zdraznn"/>
      </w:rPr>
      <w:drawing>
        <wp:anchor distT="0" distB="720090" distL="0" distR="0" simplePos="0" relativeHeight="251658240" behindDoc="0" locked="0" layoutInCell="1" allowOverlap="1" wp14:anchorId="60969E6D" wp14:editId="0D48A64D">
          <wp:simplePos x="0" y="0"/>
          <wp:positionH relativeFrom="margin">
            <wp:posOffset>0</wp:posOffset>
          </wp:positionH>
          <wp:positionV relativeFrom="bottomMargin">
            <wp:posOffset>144145</wp:posOffset>
          </wp:positionV>
          <wp:extent cx="849600" cy="360000"/>
          <wp:effectExtent l="0" t="0" r="0" b="0"/>
          <wp:wrapSquare wrapText="largest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UCS 0SS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48DB" w:rsidRPr="00D75591">
      <w:rPr>
        <w:rStyle w:val="Zdraznn"/>
      </w:rPr>
      <w:t>European Compensation Services s.r.o.</w:t>
    </w:r>
  </w:p>
  <w:p w14:paraId="5C952F3A" w14:textId="77777777" w:rsidR="002B48DB" w:rsidRDefault="002B48DB" w:rsidP="002B48DB">
    <w:pPr>
      <w:pStyle w:val="Zpat"/>
      <w:ind w:right="360"/>
      <w:rPr>
        <w:lang w:val="cs-CZ"/>
      </w:rPr>
    </w:pPr>
    <w:r w:rsidRPr="00D75591">
      <w:rPr>
        <w:lang w:val="cs-CZ"/>
      </w:rPr>
      <w:t>Revoluční 1082/8, 110 00 Praha, Česká republika, IČO 24293326, DIČ CZ24293326</w:t>
    </w:r>
  </w:p>
  <w:p w14:paraId="62419E35" w14:textId="77777777" w:rsidR="002B48DB" w:rsidRDefault="002B48DB" w:rsidP="002B48DB">
    <w:pPr>
      <w:pStyle w:val="Zpat"/>
      <w:ind w:right="360"/>
      <w:rPr>
        <w:lang w:val="cs-CZ"/>
      </w:rPr>
    </w:pPr>
    <w:r w:rsidRPr="00D75591">
      <w:rPr>
        <w:lang w:val="cs-CZ"/>
      </w:rPr>
      <w:t>Společnost vedená u Městského soudu v Praze pod spisovou značkou C 193744</w:t>
    </w:r>
  </w:p>
  <w:p w14:paraId="0A5F44CD" w14:textId="77777777" w:rsidR="001C6B75" w:rsidRPr="002B48DB" w:rsidRDefault="002B48DB" w:rsidP="002B48DB">
    <w:pPr>
      <w:pStyle w:val="Zpat"/>
      <w:ind w:right="360"/>
      <w:rPr>
        <w:lang w:val="cs-CZ"/>
      </w:rPr>
    </w:pPr>
    <w:r w:rsidRPr="00D75591">
      <w:rPr>
        <w:lang w:val="cs-CZ"/>
      </w:rPr>
      <w:t>info@eucs.cz, www.eucs.cz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7739097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50F99F7" w14:textId="77777777" w:rsidR="000411B7" w:rsidRDefault="000411B7" w:rsidP="000411B7">
        <w:pPr>
          <w:pStyle w:val="Zpat"/>
          <w:framePr w:wrap="none" w:vAnchor="text" w:hAnchor="margin" w:xAlign="right" w:y="1"/>
          <w:rPr>
            <w:rStyle w:val="slostrnky"/>
          </w:rPr>
        </w:pPr>
        <w:r w:rsidRPr="003E7454">
          <w:rPr>
            <w:rStyle w:val="slostrnky"/>
          </w:rPr>
          <w:fldChar w:fldCharType="begin"/>
        </w:r>
        <w:r w:rsidRPr="003E7454">
          <w:rPr>
            <w:rStyle w:val="slostrnky"/>
          </w:rPr>
          <w:instrText xml:space="preserve"> PAGE </w:instrText>
        </w:r>
        <w:r w:rsidRPr="003E7454">
          <w:rPr>
            <w:rStyle w:val="slostrnky"/>
          </w:rPr>
          <w:fldChar w:fldCharType="separate"/>
        </w:r>
        <w:r>
          <w:rPr>
            <w:rStyle w:val="slostrnky"/>
          </w:rPr>
          <w:t>1</w:t>
        </w:r>
        <w:r w:rsidRPr="003E7454">
          <w:rPr>
            <w:rStyle w:val="slostrnky"/>
          </w:rPr>
          <w:fldChar w:fldCharType="end"/>
        </w:r>
        <w:r w:rsidRPr="003E7454">
          <w:rPr>
            <w:rStyle w:val="slostrnky"/>
          </w:rPr>
          <w:t>/</w:t>
        </w:r>
        <w:r w:rsidRPr="003E7454">
          <w:rPr>
            <w:rStyle w:val="slostrnky"/>
          </w:rPr>
          <w:fldChar w:fldCharType="begin"/>
        </w:r>
        <w:r w:rsidRPr="003E7454">
          <w:rPr>
            <w:rStyle w:val="slostrnky"/>
          </w:rPr>
          <w:instrText xml:space="preserve"> NUMPAGES </w:instrText>
        </w:r>
        <w:r w:rsidRPr="003E7454">
          <w:rPr>
            <w:rStyle w:val="slostrnky"/>
          </w:rPr>
          <w:fldChar w:fldCharType="separate"/>
        </w:r>
        <w:r>
          <w:rPr>
            <w:rStyle w:val="slostrnky"/>
          </w:rPr>
          <w:t>1</w:t>
        </w:r>
        <w:r w:rsidRPr="003E7454">
          <w:rPr>
            <w:rStyle w:val="slostrnky"/>
          </w:rPr>
          <w:fldChar w:fldCharType="end"/>
        </w:r>
      </w:p>
    </w:sdtContent>
  </w:sdt>
  <w:p w14:paraId="62925665" w14:textId="77777777" w:rsidR="002B48DB" w:rsidRPr="00D75591" w:rsidRDefault="002B48DB" w:rsidP="002B48DB">
    <w:pPr>
      <w:pStyle w:val="Zpat"/>
      <w:rPr>
        <w:rStyle w:val="Zdraznn"/>
      </w:rPr>
    </w:pPr>
    <w:r w:rsidRPr="00D75591">
      <w:rPr>
        <w:rStyle w:val="Zdraznn"/>
      </w:rPr>
      <w:t>European Compensation Services s.r.o.</w:t>
    </w:r>
  </w:p>
  <w:p w14:paraId="23094D57" w14:textId="77777777" w:rsidR="002B48DB" w:rsidRDefault="002B48DB" w:rsidP="002B48DB">
    <w:pPr>
      <w:pStyle w:val="Zpat"/>
      <w:ind w:right="360"/>
      <w:rPr>
        <w:lang w:val="cs-CZ"/>
      </w:rPr>
    </w:pPr>
    <w:r w:rsidRPr="00D75591">
      <w:rPr>
        <w:lang w:val="cs-CZ"/>
      </w:rPr>
      <w:t>Revoluční 1082/8, 110 00 Praha, Česká republika, IČO 24293326, DIČ CZ24293326</w:t>
    </w:r>
  </w:p>
  <w:p w14:paraId="36E8C49E" w14:textId="77777777" w:rsidR="002B48DB" w:rsidRDefault="002B48DB" w:rsidP="002B48DB">
    <w:pPr>
      <w:pStyle w:val="Zpat"/>
      <w:ind w:right="360"/>
      <w:rPr>
        <w:lang w:val="cs-CZ"/>
      </w:rPr>
    </w:pPr>
    <w:r w:rsidRPr="00D75591">
      <w:rPr>
        <w:lang w:val="cs-CZ"/>
      </w:rPr>
      <w:t>Společnost vedená u Městského soudu v Praze pod spisovou značkou C 193744</w:t>
    </w:r>
  </w:p>
  <w:p w14:paraId="1ACBBC37" w14:textId="77777777" w:rsidR="001C6B75" w:rsidRPr="002B48DB" w:rsidRDefault="002B48DB" w:rsidP="002B48DB">
    <w:pPr>
      <w:pStyle w:val="Zpat"/>
      <w:ind w:right="360"/>
      <w:rPr>
        <w:lang w:val="cs-CZ"/>
      </w:rPr>
    </w:pPr>
    <w:r w:rsidRPr="00D75591">
      <w:rPr>
        <w:lang w:val="cs-CZ"/>
      </w:rPr>
      <w:t>info@eucs.cz, www.eucs.cz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3821" w14:textId="77777777" w:rsidR="00631F51" w:rsidRDefault="00631F51" w:rsidP="002E0680">
      <w:r>
        <w:separator/>
      </w:r>
    </w:p>
    <w:p w14:paraId="4DAB1956" w14:textId="77777777" w:rsidR="00631F51" w:rsidRDefault="00631F51" w:rsidP="002E0680"/>
  </w:footnote>
  <w:footnote w:type="continuationSeparator" w:id="0">
    <w:p w14:paraId="3B5149A2" w14:textId="77777777" w:rsidR="00631F51" w:rsidRDefault="00631F51" w:rsidP="002E0680">
      <w:r>
        <w:continuationSeparator/>
      </w:r>
    </w:p>
    <w:p w14:paraId="3882B25B" w14:textId="77777777" w:rsidR="00631F51" w:rsidRDefault="00631F51" w:rsidP="002E06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AA32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72E0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96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" w15:restartNumberingAfterBreak="0">
    <w:nsid w:val="FFFFFF7F"/>
    <w:multiLevelType w:val="singleLevel"/>
    <w:tmpl w:val="F976DE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5EC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AEF2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A82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B47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08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74E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1D3A7E8A">
      <w:start w:val="1"/>
      <w:numFmt w:val="bullet"/>
      <w:lvlText w:val="•"/>
      <w:lvlJc w:val="left"/>
      <w:pPr>
        <w:ind w:left="720" w:hanging="360"/>
      </w:pPr>
    </w:lvl>
    <w:lvl w:ilvl="1" w:tplc="E6723B8E">
      <w:numFmt w:val="decimal"/>
      <w:lvlText w:val=""/>
      <w:lvlJc w:val="left"/>
    </w:lvl>
    <w:lvl w:ilvl="2" w:tplc="0C428A34">
      <w:numFmt w:val="decimal"/>
      <w:lvlText w:val=""/>
      <w:lvlJc w:val="left"/>
    </w:lvl>
    <w:lvl w:ilvl="3" w:tplc="8F64562C">
      <w:numFmt w:val="decimal"/>
      <w:lvlText w:val=""/>
      <w:lvlJc w:val="left"/>
    </w:lvl>
    <w:lvl w:ilvl="4" w:tplc="5F0A6998">
      <w:numFmt w:val="decimal"/>
      <w:lvlText w:val=""/>
      <w:lvlJc w:val="left"/>
    </w:lvl>
    <w:lvl w:ilvl="5" w:tplc="8D5ECE82">
      <w:numFmt w:val="decimal"/>
      <w:lvlText w:val=""/>
      <w:lvlJc w:val="left"/>
    </w:lvl>
    <w:lvl w:ilvl="6" w:tplc="04265D94">
      <w:numFmt w:val="decimal"/>
      <w:lvlText w:val=""/>
      <w:lvlJc w:val="left"/>
    </w:lvl>
    <w:lvl w:ilvl="7" w:tplc="9446EE54">
      <w:numFmt w:val="decimal"/>
      <w:lvlText w:val=""/>
      <w:lvlJc w:val="left"/>
    </w:lvl>
    <w:lvl w:ilvl="8" w:tplc="B62A14A4">
      <w:numFmt w:val="decimal"/>
      <w:lvlText w:val=""/>
      <w:lvlJc w:val="left"/>
    </w:lvl>
  </w:abstractNum>
  <w:abstractNum w:abstractNumId="11" w15:restartNumberingAfterBreak="0">
    <w:nsid w:val="0D3C6616"/>
    <w:multiLevelType w:val="hybridMultilevel"/>
    <w:tmpl w:val="2BF4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FE67ED"/>
    <w:multiLevelType w:val="multilevel"/>
    <w:tmpl w:val="D7987E3C"/>
    <w:numStyleLink w:val="LegalStyle"/>
  </w:abstractNum>
  <w:abstractNum w:abstractNumId="13" w15:restartNumberingAfterBreak="0">
    <w:nsid w:val="23407414"/>
    <w:multiLevelType w:val="multilevel"/>
    <w:tmpl w:val="D7987E3C"/>
    <w:styleLink w:val="LegalStyle"/>
    <w:lvl w:ilvl="0">
      <w:start w:val="1"/>
      <w:numFmt w:val="decimal"/>
      <w:pStyle w:val="LegalHeading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LegalParagraph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DC2226"/>
    <w:multiLevelType w:val="hybridMultilevel"/>
    <w:tmpl w:val="00000001"/>
    <w:numStyleLink w:val="Bullets"/>
  </w:abstractNum>
  <w:abstractNum w:abstractNumId="15" w15:restartNumberingAfterBreak="0">
    <w:nsid w:val="26B538BF"/>
    <w:multiLevelType w:val="hybridMultilevel"/>
    <w:tmpl w:val="00000001"/>
    <w:styleLink w:val="Bullets"/>
    <w:lvl w:ilvl="0" w:tplc="00000001">
      <w:start w:val="1"/>
      <w:numFmt w:val="bullet"/>
      <w:pStyle w:val="Seznamsodrkami"/>
      <w:lvlText w:val="—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—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—"/>
      <w:lvlJc w:val="left"/>
      <w:pPr>
        <w:ind w:left="99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—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—"/>
      <w:lvlJc w:val="left"/>
      <w:pPr>
        <w:ind w:left="155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—"/>
      <w:lvlJc w:val="left"/>
      <w:pPr>
        <w:ind w:left="18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—"/>
      <w:lvlJc w:val="left"/>
      <w:pPr>
        <w:ind w:left="212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—"/>
      <w:lvlJc w:val="left"/>
      <w:pPr>
        <w:ind w:left="24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—"/>
      <w:lvlJc w:val="left"/>
      <w:pPr>
        <w:ind w:left="269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C5B519D"/>
    <w:multiLevelType w:val="multilevel"/>
    <w:tmpl w:val="D7987E3C"/>
    <w:numStyleLink w:val="LegalStyle"/>
  </w:abstractNum>
  <w:abstractNum w:abstractNumId="17" w15:restartNumberingAfterBreak="0">
    <w:nsid w:val="402F7C52"/>
    <w:multiLevelType w:val="hybridMultilevel"/>
    <w:tmpl w:val="3BC8DF62"/>
    <w:lvl w:ilvl="0" w:tplc="97844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DE4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E1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68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E1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C64D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AF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E3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AC1E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9445A"/>
    <w:multiLevelType w:val="multilevel"/>
    <w:tmpl w:val="F05CA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AE5824"/>
    <w:multiLevelType w:val="hybridMultilevel"/>
    <w:tmpl w:val="00000001"/>
    <w:numStyleLink w:val="Bullets"/>
  </w:abstractNum>
  <w:abstractNum w:abstractNumId="20" w15:restartNumberingAfterBreak="0">
    <w:nsid w:val="4B5E27C1"/>
    <w:multiLevelType w:val="hybridMultilevel"/>
    <w:tmpl w:val="00000001"/>
    <w:numStyleLink w:val="Bullets"/>
  </w:abstractNum>
  <w:abstractNum w:abstractNumId="21" w15:restartNumberingAfterBreak="0">
    <w:nsid w:val="4D753AD1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2" w15:restartNumberingAfterBreak="0">
    <w:nsid w:val="4E5558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7545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2BA459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063377"/>
    <w:multiLevelType w:val="multilevel"/>
    <w:tmpl w:val="D7987E3C"/>
    <w:numStyleLink w:val="LegalStyle"/>
  </w:abstractNum>
  <w:abstractNum w:abstractNumId="26" w15:restartNumberingAfterBreak="0">
    <w:nsid w:val="726C7296"/>
    <w:multiLevelType w:val="multilevel"/>
    <w:tmpl w:val="D7987E3C"/>
    <w:numStyleLink w:val="LegalStyle"/>
  </w:abstractNum>
  <w:abstractNum w:abstractNumId="27" w15:restartNumberingAfterBreak="0">
    <w:nsid w:val="7E106E1C"/>
    <w:multiLevelType w:val="multilevel"/>
    <w:tmpl w:val="24F4079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21"/>
  </w:num>
  <w:num w:numId="11">
    <w:abstractNumId w:val="17"/>
  </w:num>
  <w:num w:numId="12">
    <w:abstractNumId w:val="10"/>
  </w:num>
  <w:num w:numId="13">
    <w:abstractNumId w:val="27"/>
  </w:num>
  <w:num w:numId="14">
    <w:abstractNumId w:val="18"/>
  </w:num>
  <w:num w:numId="15">
    <w:abstractNumId w:val="15"/>
  </w:num>
  <w:num w:numId="16">
    <w:abstractNumId w:val="20"/>
  </w:num>
  <w:num w:numId="17">
    <w:abstractNumId w:val="13"/>
  </w:num>
  <w:num w:numId="18">
    <w:abstractNumId w:val="25"/>
  </w:num>
  <w:num w:numId="19">
    <w:abstractNumId w:val="11"/>
  </w:num>
  <w:num w:numId="20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9"/>
  </w:num>
  <w:num w:numId="22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auto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26"/>
  </w:num>
  <w:num w:numId="24">
    <w:abstractNumId w:val="1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4"/>
  </w:num>
  <w:num w:numId="30">
    <w:abstractNumId w:val="24"/>
  </w:num>
  <w:num w:numId="31">
    <w:abstractNumId w:val="2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AD"/>
    <w:rsid w:val="00032135"/>
    <w:rsid w:val="000411B7"/>
    <w:rsid w:val="00041595"/>
    <w:rsid w:val="000420E3"/>
    <w:rsid w:val="000704F8"/>
    <w:rsid w:val="00082A2D"/>
    <w:rsid w:val="000A01B1"/>
    <w:rsid w:val="000D78A0"/>
    <w:rsid w:val="000E313F"/>
    <w:rsid w:val="000F6CEC"/>
    <w:rsid w:val="001325F2"/>
    <w:rsid w:val="00141BAD"/>
    <w:rsid w:val="00143171"/>
    <w:rsid w:val="00174E98"/>
    <w:rsid w:val="001C56D9"/>
    <w:rsid w:val="001C6B75"/>
    <w:rsid w:val="001D1A0B"/>
    <w:rsid w:val="001E0BF1"/>
    <w:rsid w:val="001E6D9B"/>
    <w:rsid w:val="00211F76"/>
    <w:rsid w:val="00236C2B"/>
    <w:rsid w:val="00253D6F"/>
    <w:rsid w:val="00266F72"/>
    <w:rsid w:val="00282D73"/>
    <w:rsid w:val="002B48DB"/>
    <w:rsid w:val="002C0B98"/>
    <w:rsid w:val="002E0680"/>
    <w:rsid w:val="002F1189"/>
    <w:rsid w:val="00333975"/>
    <w:rsid w:val="00345289"/>
    <w:rsid w:val="00347360"/>
    <w:rsid w:val="00382812"/>
    <w:rsid w:val="003C5A65"/>
    <w:rsid w:val="003C6C71"/>
    <w:rsid w:val="003D5CF1"/>
    <w:rsid w:val="003E7454"/>
    <w:rsid w:val="0042071C"/>
    <w:rsid w:val="00424D99"/>
    <w:rsid w:val="00432B07"/>
    <w:rsid w:val="0044056B"/>
    <w:rsid w:val="0046332D"/>
    <w:rsid w:val="004771B9"/>
    <w:rsid w:val="004819AA"/>
    <w:rsid w:val="00484CF8"/>
    <w:rsid w:val="00486964"/>
    <w:rsid w:val="004B2929"/>
    <w:rsid w:val="004D130B"/>
    <w:rsid w:val="00524985"/>
    <w:rsid w:val="00530D62"/>
    <w:rsid w:val="005458D9"/>
    <w:rsid w:val="005F6006"/>
    <w:rsid w:val="00615599"/>
    <w:rsid w:val="00631F51"/>
    <w:rsid w:val="00677767"/>
    <w:rsid w:val="0069711A"/>
    <w:rsid w:val="006E5572"/>
    <w:rsid w:val="006F66B5"/>
    <w:rsid w:val="0077305E"/>
    <w:rsid w:val="007841CE"/>
    <w:rsid w:val="00791D4F"/>
    <w:rsid w:val="007B6563"/>
    <w:rsid w:val="008459FD"/>
    <w:rsid w:val="00877A90"/>
    <w:rsid w:val="008A119C"/>
    <w:rsid w:val="008C1CC6"/>
    <w:rsid w:val="008D50DA"/>
    <w:rsid w:val="008D5D1B"/>
    <w:rsid w:val="009215BC"/>
    <w:rsid w:val="00936380"/>
    <w:rsid w:val="00963F53"/>
    <w:rsid w:val="0096603D"/>
    <w:rsid w:val="00993A46"/>
    <w:rsid w:val="00993EAE"/>
    <w:rsid w:val="009A2CFC"/>
    <w:rsid w:val="009C2579"/>
    <w:rsid w:val="00A14BF9"/>
    <w:rsid w:val="00A24363"/>
    <w:rsid w:val="00A31D0B"/>
    <w:rsid w:val="00A643C3"/>
    <w:rsid w:val="00A725ED"/>
    <w:rsid w:val="00AA3F62"/>
    <w:rsid w:val="00AD16D3"/>
    <w:rsid w:val="00AD58EF"/>
    <w:rsid w:val="00B80B87"/>
    <w:rsid w:val="00BC1CFC"/>
    <w:rsid w:val="00C06C5E"/>
    <w:rsid w:val="00C56A53"/>
    <w:rsid w:val="00C917A1"/>
    <w:rsid w:val="00CB18ED"/>
    <w:rsid w:val="00CB2520"/>
    <w:rsid w:val="00CD0591"/>
    <w:rsid w:val="00CD4B42"/>
    <w:rsid w:val="00D00C9C"/>
    <w:rsid w:val="00DB14EB"/>
    <w:rsid w:val="00E139D9"/>
    <w:rsid w:val="00EA066A"/>
    <w:rsid w:val="00EB10B3"/>
    <w:rsid w:val="00EF380F"/>
    <w:rsid w:val="00EF763F"/>
    <w:rsid w:val="00F36B6B"/>
    <w:rsid w:val="00F37F01"/>
    <w:rsid w:val="00FB2557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8A335"/>
  <w15:chartTrackingRefBased/>
  <w15:docId w15:val="{3AE4689A-4EE5-4951-A4FA-588E1C85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680"/>
    <w:pPr>
      <w:spacing w:before="120" w:after="120" w:line="288" w:lineRule="auto"/>
      <w:jc w:val="both"/>
    </w:pPr>
    <w:rPr>
      <w:rFonts w:ascii="IBM Plex Sans Text" w:hAnsi="IBM Plex Sans Text"/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E0680"/>
    <w:pPr>
      <w:keepNext/>
      <w:keepLines/>
      <w:spacing w:before="0" w:after="480" w:line="240" w:lineRule="auto"/>
      <w:jc w:val="left"/>
      <w:outlineLvl w:val="0"/>
    </w:pPr>
    <w:rPr>
      <w:rFonts w:ascii="HK Grotesk" w:eastAsiaTheme="majorEastAsia" w:hAnsi="HK Grotesk" w:cstheme="majorBidi"/>
      <w:b/>
      <w:bCs/>
      <w:color w:val="000000" w:themeColor="text1"/>
      <w:sz w:val="48"/>
      <w:szCs w:val="48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0680"/>
    <w:pPr>
      <w:keepNext/>
      <w:keepLines/>
      <w:spacing w:before="240" w:line="240" w:lineRule="auto"/>
      <w:jc w:val="left"/>
      <w:outlineLvl w:val="1"/>
    </w:pPr>
    <w:rPr>
      <w:rFonts w:ascii="HK Grotesk" w:hAnsi="HK Grotesk"/>
      <w:b/>
      <w:bCs/>
      <w:sz w:val="34"/>
      <w:szCs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E0680"/>
    <w:pPr>
      <w:keepNext/>
      <w:keepLines/>
      <w:spacing w:before="240" w:line="240" w:lineRule="auto"/>
      <w:jc w:val="left"/>
      <w:outlineLvl w:val="2"/>
    </w:pPr>
    <w:rPr>
      <w:rFonts w:ascii="HK Grotesk" w:hAnsi="HK Grotesk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E0680"/>
    <w:pPr>
      <w:keepNext/>
      <w:keepLines/>
      <w:spacing w:before="240" w:line="240" w:lineRule="auto"/>
      <w:jc w:val="left"/>
      <w:outlineLvl w:val="3"/>
    </w:pPr>
    <w:rPr>
      <w:rFonts w:ascii="HK Grotesk" w:hAnsi="HK Grotesk"/>
      <w:b/>
      <w:bCs/>
      <w:sz w:val="24"/>
      <w:szCs w:val="24"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2E0680"/>
    <w:pPr>
      <w:outlineLvl w:val="4"/>
    </w:pPr>
    <w:rPr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877A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877A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1E6D9B"/>
    <w:pPr>
      <w:spacing w:before="0" w:after="0"/>
    </w:pPr>
  </w:style>
  <w:style w:type="character" w:customStyle="1" w:styleId="Nadpis1Char">
    <w:name w:val="Nadpis 1 Char"/>
    <w:basedOn w:val="Standardnpsmoodstavce"/>
    <w:link w:val="Nadpis1"/>
    <w:uiPriority w:val="9"/>
    <w:rsid w:val="002E0680"/>
    <w:rPr>
      <w:rFonts w:ascii="HK Grotesk" w:eastAsiaTheme="majorEastAsia" w:hAnsi="HK Grotesk" w:cstheme="majorBidi"/>
      <w:b/>
      <w:bCs/>
      <w:noProof/>
      <w:color w:val="000000" w:themeColor="text1"/>
      <w:sz w:val="48"/>
      <w:szCs w:val="48"/>
      <w:lang w:val="en-US"/>
    </w:rPr>
  </w:style>
  <w:style w:type="paragraph" w:styleId="Nzev">
    <w:name w:val="Title"/>
    <w:basedOn w:val="Nadpis1"/>
    <w:next w:val="Normln"/>
    <w:link w:val="NzevChar"/>
    <w:uiPriority w:val="10"/>
    <w:qFormat/>
    <w:rsid w:val="004771B9"/>
    <w:rPr>
      <w:color w:val="auto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4771B9"/>
    <w:rPr>
      <w:rFonts w:ascii="HK Grotesk" w:eastAsiaTheme="majorEastAsia" w:hAnsi="HK Grotesk" w:cstheme="majorBidi"/>
      <w:b/>
      <w:bCs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0680"/>
    <w:pPr>
      <w:spacing w:after="480" w:line="240" w:lineRule="auto"/>
      <w:jc w:val="left"/>
    </w:pPr>
    <w:rPr>
      <w:rFonts w:ascii="HK Grotesk" w:hAnsi="HK Grotesk"/>
      <w:sz w:val="34"/>
      <w:szCs w:val="34"/>
      <w:lang w:val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2E0680"/>
    <w:rPr>
      <w:rFonts w:ascii="HK Grotesk" w:hAnsi="HK Grotesk"/>
      <w:noProof/>
      <w:sz w:val="34"/>
      <w:szCs w:val="34"/>
      <w:lang w:val="en-US"/>
    </w:rPr>
  </w:style>
  <w:style w:type="paragraph" w:styleId="Zhlav">
    <w:name w:val="header"/>
    <w:basedOn w:val="Normln"/>
    <w:link w:val="ZhlavChar"/>
    <w:uiPriority w:val="99"/>
    <w:unhideWhenUsed/>
    <w:rsid w:val="00936380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380"/>
    <w:rPr>
      <w:rFonts w:ascii="IBM Plex Sans Text" w:hAnsi="IBM Plex Sans Text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F1189"/>
    <w:pPr>
      <w:tabs>
        <w:tab w:val="center" w:pos="4703"/>
        <w:tab w:val="right" w:pos="9406"/>
      </w:tabs>
      <w:spacing w:before="0" w:after="0" w:line="240" w:lineRule="auto"/>
    </w:pPr>
    <w:rPr>
      <w:sz w:val="18"/>
      <w:szCs w:val="18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2F1189"/>
    <w:rPr>
      <w:rFonts w:ascii="IBM Plex Sans Text" w:hAnsi="IBM Plex Sans Text"/>
      <w:sz w:val="18"/>
      <w:szCs w:val="18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2E0680"/>
    <w:rPr>
      <w:rFonts w:ascii="HK Grotesk" w:hAnsi="HK Grotesk"/>
      <w:b/>
      <w:bCs/>
      <w:noProof/>
    </w:rPr>
  </w:style>
  <w:style w:type="character" w:customStyle="1" w:styleId="Nadpis3Char">
    <w:name w:val="Nadpis 3 Char"/>
    <w:basedOn w:val="Standardnpsmoodstavce"/>
    <w:link w:val="Nadpis3"/>
    <w:uiPriority w:val="9"/>
    <w:rsid w:val="002E0680"/>
    <w:rPr>
      <w:rFonts w:ascii="HK Grotesk" w:hAnsi="HK Grotesk"/>
      <w:b/>
      <w:bCs/>
      <w:noProof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E0680"/>
    <w:rPr>
      <w:rFonts w:ascii="HK Grotesk" w:hAnsi="HK Grotesk"/>
      <w:b/>
      <w:bCs/>
      <w:noProof/>
      <w:sz w:val="34"/>
      <w:szCs w:val="34"/>
    </w:rPr>
  </w:style>
  <w:style w:type="character" w:customStyle="1" w:styleId="Nadpis5Char">
    <w:name w:val="Nadpis 5 Char"/>
    <w:basedOn w:val="Standardnpsmoodstavce"/>
    <w:link w:val="Nadpis5"/>
    <w:uiPriority w:val="9"/>
    <w:rsid w:val="002E0680"/>
    <w:rPr>
      <w:rFonts w:ascii="HK Grotesk" w:hAnsi="HK Grotesk"/>
      <w:b/>
      <w:bCs/>
      <w:noProof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rsid w:val="00877A90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7A90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1E6D9B"/>
    <w:rPr>
      <w:rFonts w:ascii="IBM Plex Sans Text" w:hAnsi="IBM Plex Sans Text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E313F"/>
    <w:pPr>
      <w:spacing w:before="0" w:after="0" w:line="240" w:lineRule="auto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E313F"/>
    <w:rPr>
      <w:rFonts w:ascii="IBM Plex Sans Text" w:hAnsi="IBM Plex Sans Text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0E313F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253D6F"/>
    <w:rPr>
      <w:rFonts w:ascii="IBM Plex Sans" w:hAnsi="IBM Plex Sans"/>
      <w:b/>
      <w:bCs/>
    </w:rPr>
  </w:style>
  <w:style w:type="character" w:styleId="Zdraznnjemn">
    <w:name w:val="Subtle Emphasis"/>
    <w:basedOn w:val="Standardnpsmoodstavce"/>
    <w:uiPriority w:val="19"/>
    <w:qFormat/>
    <w:rsid w:val="00253D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253D6F"/>
    <w:rPr>
      <w:rFonts w:ascii="IBM Plex Sans" w:hAnsi="IBM Plex Sans"/>
      <w:b/>
      <w:bCs/>
      <w:i/>
      <w:iCs/>
    </w:rPr>
  </w:style>
  <w:style w:type="character" w:styleId="Siln">
    <w:name w:val="Strong"/>
    <w:basedOn w:val="Standardnpsmoodstavce"/>
    <w:uiPriority w:val="22"/>
    <w:qFormat/>
    <w:rsid w:val="00253D6F"/>
    <w:rPr>
      <w:b/>
      <w:bCs/>
    </w:rPr>
  </w:style>
  <w:style w:type="paragraph" w:styleId="Odstavecseseznamem">
    <w:name w:val="List Paragraph"/>
    <w:basedOn w:val="Normln"/>
    <w:uiPriority w:val="34"/>
    <w:qFormat/>
    <w:rsid w:val="002E0680"/>
    <w:pPr>
      <w:ind w:left="567"/>
      <w:contextualSpacing/>
    </w:pPr>
  </w:style>
  <w:style w:type="paragraph" w:styleId="Seznamsodrkami">
    <w:name w:val="List Bullet"/>
    <w:basedOn w:val="Normln"/>
    <w:uiPriority w:val="99"/>
    <w:unhideWhenUsed/>
    <w:qFormat/>
    <w:rsid w:val="00993A46"/>
    <w:pPr>
      <w:numPr>
        <w:numId w:val="29"/>
      </w:numPr>
      <w:ind w:left="567" w:hanging="567"/>
    </w:pPr>
  </w:style>
  <w:style w:type="paragraph" w:styleId="Pokraovnseznamu">
    <w:name w:val="List Continue"/>
    <w:basedOn w:val="Normln"/>
    <w:uiPriority w:val="99"/>
    <w:semiHidden/>
    <w:unhideWhenUsed/>
    <w:rsid w:val="008D5D1B"/>
    <w:pPr>
      <w:ind w:left="283"/>
      <w:contextualSpacing/>
    </w:pPr>
  </w:style>
  <w:style w:type="character" w:styleId="Hypertextovodkaz">
    <w:name w:val="Hyperlink"/>
    <w:basedOn w:val="Standardnpsmoodstavce"/>
    <w:uiPriority w:val="99"/>
    <w:unhideWhenUsed/>
    <w:rsid w:val="002F1189"/>
    <w:rPr>
      <w:color w:val="auto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2F118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F118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189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89"/>
    <w:rPr>
      <w:rFonts w:ascii="Times New Roman" w:hAnsi="Times New Roman" w:cs="Times New Roman"/>
      <w:sz w:val="18"/>
      <w:szCs w:val="18"/>
    </w:rPr>
  </w:style>
  <w:style w:type="character" w:styleId="slostrnky">
    <w:name w:val="page number"/>
    <w:uiPriority w:val="99"/>
    <w:unhideWhenUsed/>
    <w:rsid w:val="003E7454"/>
    <w:rPr>
      <w:b/>
      <w:bCs/>
    </w:rPr>
  </w:style>
  <w:style w:type="paragraph" w:styleId="Seznamsodrkami2">
    <w:name w:val="List Bullet 2"/>
    <w:basedOn w:val="Seznamsodrkami"/>
    <w:uiPriority w:val="99"/>
    <w:unhideWhenUsed/>
    <w:rsid w:val="00993A46"/>
    <w:pPr>
      <w:ind w:left="993" w:hanging="426"/>
    </w:pPr>
  </w:style>
  <w:style w:type="paragraph" w:styleId="Seznamsodrkami3">
    <w:name w:val="List Bullet 3"/>
    <w:basedOn w:val="Seznamsodrkami"/>
    <w:uiPriority w:val="99"/>
    <w:unhideWhenUsed/>
    <w:rsid w:val="00993A46"/>
    <w:pPr>
      <w:ind w:left="1418" w:hanging="425"/>
    </w:pPr>
  </w:style>
  <w:style w:type="numbering" w:customStyle="1" w:styleId="Bullets">
    <w:name w:val="Bullets"/>
    <w:rsid w:val="002C0B98"/>
    <w:pPr>
      <w:numPr>
        <w:numId w:val="15"/>
      </w:numPr>
    </w:pPr>
  </w:style>
  <w:style w:type="numbering" w:customStyle="1" w:styleId="LegalStyle">
    <w:name w:val="Legal Style"/>
    <w:uiPriority w:val="99"/>
    <w:rsid w:val="00EF763F"/>
    <w:pPr>
      <w:numPr>
        <w:numId w:val="17"/>
      </w:numPr>
    </w:pPr>
  </w:style>
  <w:style w:type="paragraph" w:customStyle="1" w:styleId="LegalParagraph">
    <w:name w:val="Legal Paragraph"/>
    <w:basedOn w:val="Normln"/>
    <w:qFormat/>
    <w:rsid w:val="003D5CF1"/>
    <w:pPr>
      <w:numPr>
        <w:ilvl w:val="1"/>
        <w:numId w:val="24"/>
      </w:numPr>
    </w:pPr>
  </w:style>
  <w:style w:type="paragraph" w:customStyle="1" w:styleId="LegalHeading">
    <w:name w:val="Legal Heading"/>
    <w:basedOn w:val="LegalParagraph"/>
    <w:next w:val="LegalParagraph"/>
    <w:qFormat/>
    <w:rsid w:val="000411B7"/>
    <w:pPr>
      <w:keepNext/>
      <w:keepLines/>
      <w:numPr>
        <w:ilvl w:val="0"/>
      </w:numPr>
      <w:tabs>
        <w:tab w:val="clear" w:pos="567"/>
      </w:tabs>
      <w:spacing w:before="480" w:after="240" w:line="240" w:lineRule="auto"/>
      <w:jc w:val="left"/>
    </w:pPr>
    <w:rPr>
      <w:rFonts w:ascii="HK Grotesk" w:hAnsi="HK Grotesk" w:cs="Times New Roman (Body CS)"/>
      <w:b/>
      <w:sz w:val="28"/>
    </w:rPr>
  </w:style>
  <w:style w:type="paragraph" w:styleId="Citt">
    <w:name w:val="Quote"/>
    <w:basedOn w:val="Normln"/>
    <w:next w:val="Normln"/>
    <w:link w:val="CittChar"/>
    <w:uiPriority w:val="29"/>
    <w:qFormat/>
    <w:rsid w:val="008C1C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1CC6"/>
    <w:rPr>
      <w:rFonts w:ascii="IBM Plex Sans Text" w:hAnsi="IBM Plex Sans Text"/>
      <w:i/>
      <w:iCs/>
      <w:noProof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C1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1CC6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1CC6"/>
    <w:rPr>
      <w:rFonts w:ascii="IBM Plex Sans Text" w:hAnsi="IBM Plex Sans Text"/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1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1CC6"/>
    <w:rPr>
      <w:rFonts w:ascii="IBM Plex Sans Text" w:hAnsi="IBM Plex Sans Text"/>
      <w:b/>
      <w:bCs/>
      <w:noProof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174E9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adnaposkozeneho.cz/?utm_source=seznam_krimi&amp;utm_medium=P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radnaposkozeneho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eucs\pr\TZ_Vz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6364A7-2D5C-4F49-BE05-2871AF18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TZ_Vzor</Template>
  <TotalTime>11</TotalTime>
  <Pages>2</Pages>
  <Words>550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cp:lastPrinted>2019-09-05T12:18:00Z</cp:lastPrinted>
  <dcterms:created xsi:type="dcterms:W3CDTF">2021-05-19T06:05:00Z</dcterms:created>
  <dcterms:modified xsi:type="dcterms:W3CDTF">2021-05-19T06:15:00Z</dcterms:modified>
</cp:coreProperties>
</file>